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621BC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</w:t>
      </w:r>
      <w:r w:rsidR="000F0AAD">
        <w:rPr>
          <w:rFonts w:asciiTheme="majorHAnsi" w:hAnsiTheme="majorHAnsi" w:cstheme="majorHAnsi"/>
          <w:szCs w:val="26"/>
        </w:rPr>
        <w:t xml:space="preserve"> secretary</w:t>
      </w:r>
      <w:r>
        <w:rPr>
          <w:rFonts w:asciiTheme="majorHAnsi" w:hAnsiTheme="majorHAnsi" w:cstheme="majorHAnsi"/>
          <w:szCs w:val="26"/>
        </w:rPr>
        <w:t xml:space="preserve"> for health</w:t>
      </w:r>
      <w:r w:rsidR="00A61F1A">
        <w:rPr>
          <w:rFonts w:asciiTheme="majorHAnsi" w:hAnsiTheme="majorHAnsi" w:cstheme="majorHAnsi"/>
          <w:szCs w:val="26"/>
        </w:rPr>
        <w:t>, Department of health and human</w:t>
      </w:r>
      <w:r w:rsidR="000F0AAD">
        <w:rPr>
          <w:rFonts w:asciiTheme="majorHAnsi" w:hAnsiTheme="majorHAnsi" w:cstheme="majorHAnsi"/>
          <w:szCs w:val="26"/>
        </w:rPr>
        <w:t xml:space="preserve"> services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D529B2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D529B2">
        <w:trPr>
          <w:trHeight w:val="171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7A176D" w:rsidRDefault="009F6D3B" w:rsidP="00E71E96">
            <w:pPr>
              <w:numPr>
                <w:ilvl w:val="0"/>
                <w:numId w:val="36"/>
              </w:numPr>
              <w:shd w:val="clear" w:color="auto" w:fill="FFFFFF"/>
              <w:ind w:left="0"/>
              <w:contextualSpacing/>
              <w:rPr>
                <w:rFonts w:ascii="Arial" w:hAnsi="Arial" w:cs="Arial"/>
                <w:color w:val="333333"/>
                <w:szCs w:val="18"/>
              </w:rPr>
            </w:pPr>
            <w:r>
              <w:rPr>
                <w:rFonts w:ascii="Arial" w:hAnsi="Arial" w:cs="Arial"/>
                <w:color w:val="333333"/>
                <w:szCs w:val="18"/>
              </w:rPr>
              <w:t>Health, Education, Labor</w:t>
            </w:r>
            <w:r w:rsidR="00B0673C" w:rsidRPr="00B0673C">
              <w:rPr>
                <w:rFonts w:ascii="Arial" w:hAnsi="Arial" w:cs="Arial"/>
                <w:color w:val="333333"/>
                <w:szCs w:val="18"/>
              </w:rPr>
              <w:t xml:space="preserve"> and Pensions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4218EA" w:rsidRDefault="004218EA" w:rsidP="00D529B2">
            <w:pPr>
              <w:contextualSpacing/>
            </w:pPr>
            <w:r w:rsidRPr="004A4B08">
              <w:rPr>
                <w:rFonts w:asciiTheme="majorHAnsi" w:hAnsiTheme="majorHAnsi" w:cstheme="majorHAnsi"/>
              </w:rPr>
              <w:t>To enhance and protect the health and well-being of all Americans by providing effective health and human services and fostering advances in medicine, pu</w:t>
            </w:r>
            <w:r w:rsidR="009F6D3B">
              <w:rPr>
                <w:rFonts w:asciiTheme="majorHAnsi" w:hAnsiTheme="majorHAnsi" w:cstheme="majorHAnsi"/>
              </w:rPr>
              <w:t>blic health and social services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4C08EB" w:rsidP="009F6D3B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9F6D3B">
              <w:rPr>
                <w:rFonts w:asciiTheme="majorHAnsi" w:hAnsiTheme="majorHAnsi" w:cstheme="majorHAnsi"/>
                <w:bCs/>
              </w:rPr>
              <w:t xml:space="preserve">assistant secretary for health </w:t>
            </w:r>
            <w:r w:rsidR="009F6D3B" w:rsidRPr="009F6D3B">
              <w:rPr>
                <w:rFonts w:asciiTheme="majorHAnsi" w:hAnsiTheme="majorHAnsi" w:cstheme="majorHAnsi"/>
                <w:bCs/>
              </w:rPr>
              <w:t xml:space="preserve">oversees the offices within the Office of </w:t>
            </w:r>
            <w:r w:rsidR="009F6D3B">
              <w:rPr>
                <w:rFonts w:asciiTheme="majorHAnsi" w:hAnsiTheme="majorHAnsi" w:cstheme="majorHAnsi"/>
                <w:bCs/>
              </w:rPr>
              <w:t xml:space="preserve">the </w:t>
            </w:r>
            <w:r w:rsidR="009F6D3B" w:rsidRPr="009F6D3B">
              <w:rPr>
                <w:rFonts w:asciiTheme="majorHAnsi" w:hAnsiTheme="majorHAnsi" w:cstheme="majorHAnsi"/>
                <w:bCs/>
              </w:rPr>
              <w:t>Assistant Secretary for Health with the goal of fostering collaboration across its programs to advance public health</w:t>
            </w:r>
            <w:r w:rsidR="009F6D3B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D529B2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D644AE" w:rsidP="006621D5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6621D5">
              <w:rPr>
                <w:rFonts w:asciiTheme="majorHAnsi" w:hAnsiTheme="majorHAnsi" w:cstheme="majorHAnsi"/>
                <w:bCs/>
              </w:rPr>
              <w:t xml:space="preserve">155,500 </w:t>
            </w:r>
            <w:r w:rsidR="00084493">
              <w:rPr>
                <w:rFonts w:asciiTheme="majorHAnsi" w:hAnsiTheme="majorHAnsi" w:cstheme="majorHAnsi"/>
                <w:bCs/>
              </w:rPr>
              <w:t>(5 U.S.C. § 5315)</w:t>
            </w:r>
            <w:r w:rsidR="00F25DB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A61F1A" w:rsidP="00D529B2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Secretary of </w:t>
            </w:r>
            <w:r w:rsidR="00171921">
              <w:rPr>
                <w:rFonts w:asciiTheme="majorHAnsi" w:hAnsiTheme="majorHAnsi" w:cstheme="majorHAnsi"/>
              </w:rPr>
              <w:t>Health and Human Services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D529B2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1E2042" w:rsidP="005F774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Office of the Assistant Secretary for Health had a f</w:t>
            </w:r>
            <w:r w:rsidRPr="001E2042">
              <w:rPr>
                <w:rFonts w:asciiTheme="majorHAnsi" w:hAnsiTheme="majorHAnsi" w:cstheme="majorHAnsi"/>
                <w:bCs/>
              </w:rPr>
              <w:t>iscal</w:t>
            </w:r>
            <w:r>
              <w:rPr>
                <w:rFonts w:asciiTheme="majorHAnsi" w:hAnsiTheme="majorHAnsi" w:cstheme="majorHAnsi"/>
                <w:bCs/>
              </w:rPr>
              <w:t xml:space="preserve"> 2015 budget of $280.486 million (budget o</w:t>
            </w:r>
            <w:r w:rsidRPr="001E2042">
              <w:rPr>
                <w:rFonts w:asciiTheme="majorHAnsi" w:hAnsiTheme="majorHAnsi" w:cstheme="majorHAnsi"/>
                <w:bCs/>
              </w:rPr>
              <w:t>utlays)</w:t>
            </w:r>
            <w:r>
              <w:rPr>
                <w:rFonts w:asciiTheme="majorHAnsi" w:hAnsiTheme="majorHAnsi" w:cstheme="majorHAnsi"/>
                <w:bCs/>
              </w:rPr>
              <w:t xml:space="preserve">, and has </w:t>
            </w:r>
            <w:r w:rsidRPr="001E2042">
              <w:rPr>
                <w:rFonts w:asciiTheme="majorHAnsi" w:hAnsiTheme="majorHAnsi" w:cstheme="majorHAnsi"/>
                <w:bCs/>
              </w:rPr>
              <w:t>256</w:t>
            </w:r>
            <w:r>
              <w:rPr>
                <w:rFonts w:asciiTheme="majorHAnsi" w:hAnsiTheme="majorHAnsi" w:cstheme="majorHAnsi"/>
                <w:bCs/>
              </w:rPr>
              <w:t xml:space="preserve">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D63E71" w:rsidRPr="00D63E71">
              <w:rPr>
                <w:rFonts w:asciiTheme="majorHAnsi" w:hAnsiTheme="majorHAnsi" w:cstheme="majorHAnsi"/>
                <w:bCs/>
              </w:rPr>
              <w:t xml:space="preserve">The </w:t>
            </w:r>
            <w:r w:rsidR="009F6D3B" w:rsidRPr="00D63E71">
              <w:rPr>
                <w:rFonts w:asciiTheme="majorHAnsi" w:hAnsiTheme="majorHAnsi" w:cstheme="majorHAnsi"/>
                <w:bCs/>
              </w:rPr>
              <w:t xml:space="preserve">assistant secretary for health </w:t>
            </w:r>
            <w:r w:rsidR="00D63E71" w:rsidRPr="00D63E7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oversees </w:t>
            </w:r>
            <w:r w:rsidR="009F6D3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12 core public health offices, </w:t>
            </w:r>
            <w:r w:rsidR="00D63E71" w:rsidRPr="00D63E7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including the Office of the Surgeon General and the U.S. Public Heal</w:t>
            </w:r>
            <w:r w:rsidR="009F6D3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th Service Commissioned Corps, </w:t>
            </w:r>
            <w:r w:rsidR="00D63E71" w:rsidRPr="00D63E7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as well as </w:t>
            </w:r>
            <w:r w:rsidR="005F77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10 </w:t>
            </w:r>
            <w:r w:rsidR="00D63E71" w:rsidRPr="00D63E7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regional health offices across the nation and </w:t>
            </w:r>
            <w:r w:rsidR="005F77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10 </w:t>
            </w:r>
            <w:r w:rsidR="00D63E71" w:rsidRPr="00D63E7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presidential and secretarial advisory committees</w:t>
            </w:r>
            <w:r w:rsidR="00563C7A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D63E71"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3"/>
            </w:r>
            <w:r w:rsidR="00D63E7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D3B" w:rsidRDefault="009F6D3B" w:rsidP="009F6D3B">
            <w:pPr>
              <w:pStyle w:val="ListParagraph"/>
              <w:numPr>
                <w:ilvl w:val="0"/>
                <w:numId w:val="44"/>
              </w:numPr>
              <w:ind w:left="432"/>
              <w:rPr>
                <w:rFonts w:asciiTheme="majorHAnsi" w:hAnsiTheme="majorHAnsi" w:cstheme="majorHAnsi"/>
              </w:rPr>
            </w:pPr>
            <w:r w:rsidRPr="009F6D3B">
              <w:rPr>
                <w:rFonts w:asciiTheme="majorHAnsi" w:hAnsiTheme="majorHAnsi" w:cstheme="majorHAnsi"/>
              </w:rPr>
              <w:t>Leads the effort to develop policy recommendations related to public health issues that cut across HHS agencies and operating divisions</w:t>
            </w:r>
            <w:r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4"/>
            </w:r>
          </w:p>
          <w:p w:rsidR="001434EE" w:rsidRPr="009F6D3B" w:rsidRDefault="001434EE" w:rsidP="009F6D3B">
            <w:pPr>
              <w:pStyle w:val="ListParagraph"/>
              <w:numPr>
                <w:ilvl w:val="0"/>
                <w:numId w:val="44"/>
              </w:numPr>
              <w:ind w:left="432"/>
              <w:rPr>
                <w:rFonts w:asciiTheme="majorHAnsi" w:hAnsiTheme="majorHAnsi" w:cstheme="majorHAnsi"/>
              </w:rPr>
            </w:pPr>
            <w:r w:rsidRPr="009F6D3B">
              <w:rPr>
                <w:rFonts w:asciiTheme="majorHAnsi" w:hAnsiTheme="majorHAnsi" w:cstheme="majorHAnsi"/>
                <w:bCs/>
              </w:rPr>
              <w:t>Coordinates an array of interdisciplinary programs relating to: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Disease prevention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Health promotion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Reduction of health disparities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Women’s and minority health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Adolescent health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HIV/AIDS and chronic infectious diseases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Vaccine programs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Fitness, sports and nutrition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Bioethics</w:t>
            </w:r>
          </w:p>
          <w:p w:rsid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1434EE">
              <w:rPr>
                <w:rFonts w:asciiTheme="majorHAnsi" w:hAnsiTheme="majorHAnsi" w:cstheme="majorHAnsi"/>
                <w:bCs/>
              </w:rPr>
              <w:t>Population affairs</w:t>
            </w:r>
          </w:p>
          <w:p w:rsidR="001434EE" w:rsidRPr="001434EE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Blood supply</w:t>
            </w:r>
          </w:p>
          <w:p w:rsidR="0016537A" w:rsidRPr="00735B7A" w:rsidRDefault="001434EE" w:rsidP="00D529B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Research integrity and human research protections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D529B2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D529B2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D529B2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D529B2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D529B2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D529B2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Background in public health </w:t>
            </w:r>
          </w:p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Some management experience </w:t>
            </w:r>
          </w:p>
          <w:p w:rsidR="00761236" w:rsidRP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Background as a physician or in epidemiology (preferred)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D529B2">
            <w:pPr>
              <w:contextualSpacing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to supervise a diverse group of people </w:t>
            </w:r>
            <w:r w:rsidR="005F774F">
              <w:rPr>
                <w:rFonts w:asciiTheme="majorHAnsi" w:hAnsiTheme="majorHAnsi" w:cstheme="majorHAnsi"/>
                <w:bCs/>
              </w:rPr>
              <w:t xml:space="preserve">who have </w:t>
            </w:r>
            <w:r>
              <w:rPr>
                <w:rFonts w:asciiTheme="majorHAnsi" w:hAnsiTheme="majorHAnsi" w:cstheme="majorHAnsi"/>
                <w:bCs/>
              </w:rPr>
              <w:t xml:space="preserve"> a </w:t>
            </w:r>
            <w:r w:rsidR="002A535C">
              <w:rPr>
                <w:rFonts w:asciiTheme="majorHAnsi" w:hAnsiTheme="majorHAnsi" w:cstheme="majorHAnsi"/>
                <w:bCs/>
              </w:rPr>
              <w:t xml:space="preserve">range </w:t>
            </w:r>
            <w:r>
              <w:rPr>
                <w:rFonts w:asciiTheme="majorHAnsi" w:hAnsiTheme="majorHAnsi" w:cstheme="majorHAnsi"/>
                <w:bCs/>
              </w:rPr>
              <w:t>of skills</w:t>
            </w:r>
          </w:p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form relationships with external stakeholders</w:t>
            </w:r>
          </w:p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761236" w:rsidRPr="00761236" w:rsidRDefault="00761236" w:rsidP="0039761F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agency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D529B2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C44A5" w:rsidP="005D6C1B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Karen B. </w:t>
            </w:r>
            <w:proofErr w:type="spellStart"/>
            <w:r>
              <w:rPr>
                <w:rFonts w:asciiTheme="majorHAnsi" w:hAnsiTheme="majorHAnsi" w:cstheme="majorHAnsi"/>
              </w:rPr>
              <w:t>DeSalvo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(2014 to</w:t>
            </w:r>
            <w:r w:rsidR="00A71772">
              <w:rPr>
                <w:rFonts w:asciiTheme="majorHAnsi" w:hAnsiTheme="majorHAnsi" w:cstheme="majorHAnsi"/>
              </w:rPr>
              <w:t xml:space="preserve"> </w:t>
            </w:r>
            <w:r w:rsidR="005D6C1B">
              <w:rPr>
                <w:rFonts w:asciiTheme="majorHAnsi" w:hAnsiTheme="majorHAnsi" w:cstheme="majorHAnsi"/>
              </w:rPr>
              <w:t>2017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A71772">
              <w:rPr>
                <w:rFonts w:asciiTheme="majorHAnsi" w:hAnsiTheme="majorHAnsi" w:cstheme="majorHAnsi"/>
              </w:rPr>
              <w:t>(Acting) –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A71772">
              <w:rPr>
                <w:rFonts w:asciiTheme="majorHAnsi" w:hAnsiTheme="majorHAnsi" w:cstheme="majorHAnsi"/>
              </w:rPr>
              <w:t>National Coordinator for Health Information Technology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71772">
              <w:rPr>
                <w:rFonts w:asciiTheme="majorHAnsi" w:hAnsiTheme="majorHAnsi" w:cstheme="majorHAnsi"/>
              </w:rPr>
              <w:t>Health Commissioner for the City of New Orleans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71772">
              <w:rPr>
                <w:rFonts w:asciiTheme="majorHAnsi" w:hAnsiTheme="majorHAnsi" w:cstheme="majorHAnsi"/>
              </w:rPr>
              <w:t>Vice Dean Comm</w:t>
            </w:r>
            <w:r w:rsidR="009F6D3B">
              <w:rPr>
                <w:rFonts w:asciiTheme="majorHAnsi" w:hAnsiTheme="majorHAnsi" w:cstheme="majorHAnsi"/>
              </w:rPr>
              <w:t>unity Affairs and Health Policy</w:t>
            </w:r>
            <w:r w:rsidR="00A7177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AE0B35" w:rsidP="00D529B2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Howard K. </w:t>
            </w:r>
            <w:proofErr w:type="spellStart"/>
            <w:r>
              <w:rPr>
                <w:rFonts w:asciiTheme="majorHAnsi" w:hAnsiTheme="majorHAnsi" w:cstheme="majorHAnsi"/>
              </w:rPr>
              <w:t>Koh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="0084310E">
              <w:rPr>
                <w:rFonts w:asciiTheme="majorHAnsi" w:hAnsiTheme="majorHAnsi" w:cstheme="majorHAnsi"/>
              </w:rPr>
              <w:t>2009</w:t>
            </w:r>
            <w:r w:rsidR="009B4A85">
              <w:rPr>
                <w:rFonts w:asciiTheme="majorHAnsi" w:hAnsiTheme="majorHAnsi" w:cstheme="majorHAnsi"/>
              </w:rPr>
              <w:t xml:space="preserve"> to </w:t>
            </w:r>
            <w:r>
              <w:rPr>
                <w:rFonts w:asciiTheme="majorHAnsi" w:hAnsiTheme="majorHAnsi" w:cstheme="majorHAnsi"/>
              </w:rPr>
              <w:t>2014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84310E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4310E">
              <w:rPr>
                <w:rFonts w:asciiTheme="majorHAnsi" w:hAnsiTheme="majorHAnsi" w:cstheme="majorHAnsi"/>
              </w:rPr>
              <w:t>Associate Dean for Public Health and Director of the Harvard School of Public Health Center for Public Health Preparedness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84310E">
              <w:rPr>
                <w:rFonts w:asciiTheme="majorHAnsi" w:hAnsiTheme="majorHAnsi" w:cstheme="majorHAnsi"/>
              </w:rPr>
              <w:t>Commissioner of Public Health for th</w:t>
            </w:r>
            <w:r w:rsidR="009F6D3B">
              <w:rPr>
                <w:rFonts w:asciiTheme="majorHAnsi" w:hAnsiTheme="majorHAnsi" w:cstheme="majorHAnsi"/>
              </w:rPr>
              <w:t>e Commonwealth of Massachusetts</w:t>
            </w:r>
            <w:r w:rsidR="00215AD3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r w:rsidR="0084310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74FDB" w:rsidP="00D529B2">
            <w:pPr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Joxel</w:t>
            </w:r>
            <w:proofErr w:type="spellEnd"/>
            <w:r>
              <w:rPr>
                <w:rFonts w:asciiTheme="majorHAnsi" w:hAnsiTheme="majorHAnsi" w:cstheme="majorHAnsi"/>
              </w:rPr>
              <w:t xml:space="preserve"> Garcia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 w:rsidR="009B4A85">
              <w:rPr>
                <w:rFonts w:asciiTheme="majorHAnsi" w:hAnsiTheme="majorHAnsi" w:cstheme="majorHAnsi"/>
              </w:rPr>
              <w:t>2008 to</w:t>
            </w:r>
            <w:r w:rsidR="00713117">
              <w:rPr>
                <w:rFonts w:asciiTheme="majorHAnsi" w:hAnsiTheme="majorHAnsi" w:cstheme="majorHAnsi"/>
              </w:rPr>
              <w:t xml:space="preserve"> 2009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E631D7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E631D7">
              <w:rPr>
                <w:rFonts w:asciiTheme="majorHAnsi" w:hAnsiTheme="majorHAnsi" w:cstheme="majorHAnsi"/>
              </w:rPr>
              <w:t>Senior Vice President and Senior Medical Advisor at MAXIMUS Federal Services Inc.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E631D7">
              <w:rPr>
                <w:rFonts w:asciiTheme="majorHAnsi" w:hAnsiTheme="majorHAnsi" w:cstheme="majorHAnsi"/>
              </w:rPr>
              <w:t>Deputy Director of the Pan American Health Organization for the World Health Organization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EA62D7">
              <w:rPr>
                <w:rFonts w:asciiTheme="majorHAnsi" w:hAnsiTheme="majorHAnsi" w:cstheme="majorHAnsi"/>
              </w:rPr>
              <w:t>Commissioner of Public Health for Connecticut.</w:t>
            </w:r>
            <w:r w:rsidR="002675D5">
              <w:rPr>
                <w:rStyle w:val="EndnoteReference"/>
                <w:rFonts w:asciiTheme="majorHAnsi" w:hAnsiTheme="majorHAnsi" w:cstheme="majorHAnsi"/>
              </w:rPr>
              <w:endnoteReference w:id="7"/>
            </w:r>
            <w:r w:rsidR="00EA62D7">
              <w:rPr>
                <w:rFonts w:asciiTheme="majorHAnsi" w:hAnsiTheme="majorHAnsi" w:cstheme="majorHAnsi"/>
              </w:rPr>
              <w:t xml:space="preserve"> 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62" w:rsidRDefault="00AF7162" w:rsidP="001E22F1">
      <w:r>
        <w:separator/>
      </w:r>
    </w:p>
  </w:endnote>
  <w:endnote w:type="continuationSeparator" w:id="0">
    <w:p w:rsidR="00AF7162" w:rsidRDefault="00AF7162" w:rsidP="001E22F1">
      <w:r>
        <w:continuationSeparator/>
      </w:r>
    </w:p>
  </w:endnote>
  <w:endnote w:id="1">
    <w:p w:rsidR="00F25DB9" w:rsidRDefault="00F25D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621D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1E2042" w:rsidRDefault="001E2042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1E2042">
        <w:t>https://lo.bvdep.com/OrgDocument.asp?OrgId=-1&amp;LDIBookId=19&amp;LDIOrgId=152980&amp;LDISecId=180&amp;FromRecent=1&amp;Save=0#O152980</w:t>
      </w:r>
    </w:p>
  </w:endnote>
  <w:endnote w:id="3">
    <w:p w:rsidR="00D63E71" w:rsidRDefault="00D63E7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63E71">
        <w:t>https://www.hhs.gov/ash/about-ash/index.html#</w:t>
      </w:r>
      <w:r>
        <w:t xml:space="preserve"> </w:t>
      </w:r>
    </w:p>
  </w:endnote>
  <w:endnote w:id="4">
    <w:p w:rsidR="009F6D3B" w:rsidRDefault="009F6D3B" w:rsidP="009F6D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63E71">
        <w:t>https://www.hhs.gov/ash/about-ash/index.html#</w:t>
      </w:r>
      <w:r>
        <w:t xml:space="preserve"> </w:t>
      </w:r>
    </w:p>
  </w:endnote>
  <w:endnote w:id="5">
    <w:p w:rsidR="00A71772" w:rsidRDefault="00A7177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71772">
        <w:t>https://www.hhs.gov/about/leadership/karen-desalvo/index.html</w:t>
      </w:r>
      <w:r>
        <w:t xml:space="preserve"> </w:t>
      </w:r>
    </w:p>
  </w:endnote>
  <w:endnote w:id="6">
    <w:p w:rsidR="00215AD3" w:rsidRDefault="00215A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15AD3">
        <w:t>https://www.hsph.harvard.edu/howard-koh/</w:t>
      </w:r>
      <w:r>
        <w:t xml:space="preserve"> </w:t>
      </w:r>
    </w:p>
  </w:endnote>
  <w:endnote w:id="7">
    <w:p w:rsidR="002675D5" w:rsidRDefault="002675D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675D5">
        <w:t>http://www.neomed.edu/pipeline-to-practice/conference-home/speakers/garcia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62" w:rsidRDefault="00AF7162" w:rsidP="001E22F1">
      <w:r>
        <w:separator/>
      </w:r>
    </w:p>
  </w:footnote>
  <w:footnote w:type="continuationSeparator" w:id="0">
    <w:p w:rsidR="00AF7162" w:rsidRDefault="00AF716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621D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144F"/>
    <w:multiLevelType w:val="hybridMultilevel"/>
    <w:tmpl w:val="C014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4E9"/>
    <w:multiLevelType w:val="hybridMultilevel"/>
    <w:tmpl w:val="D9E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613A"/>
    <w:multiLevelType w:val="hybridMultilevel"/>
    <w:tmpl w:val="6B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0E38"/>
    <w:multiLevelType w:val="hybridMultilevel"/>
    <w:tmpl w:val="3E72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15C6164"/>
    <w:multiLevelType w:val="multilevel"/>
    <w:tmpl w:val="15A6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307B"/>
    <w:multiLevelType w:val="hybridMultilevel"/>
    <w:tmpl w:val="1CB00B26"/>
    <w:lvl w:ilvl="0" w:tplc="D1F2D662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3F9"/>
    <w:multiLevelType w:val="hybridMultilevel"/>
    <w:tmpl w:val="F2DA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B2E18"/>
    <w:multiLevelType w:val="hybridMultilevel"/>
    <w:tmpl w:val="7C182694"/>
    <w:lvl w:ilvl="0" w:tplc="2200C3CE">
      <w:start w:val="1"/>
      <w:numFmt w:val="bullet"/>
      <w:suff w:val="space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21DE3"/>
    <w:multiLevelType w:val="hybridMultilevel"/>
    <w:tmpl w:val="003A2AC2"/>
    <w:lvl w:ilvl="0" w:tplc="C0A28D24">
      <w:start w:val="1"/>
      <w:numFmt w:val="bullet"/>
      <w:suff w:val="space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02A0C"/>
    <w:multiLevelType w:val="hybridMultilevel"/>
    <w:tmpl w:val="AC9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43"/>
  </w:num>
  <w:num w:numId="5">
    <w:abstractNumId w:val="8"/>
  </w:num>
  <w:num w:numId="6">
    <w:abstractNumId w:val="38"/>
  </w:num>
  <w:num w:numId="7">
    <w:abstractNumId w:val="7"/>
  </w:num>
  <w:num w:numId="8">
    <w:abstractNumId w:val="33"/>
  </w:num>
  <w:num w:numId="9">
    <w:abstractNumId w:val="19"/>
  </w:num>
  <w:num w:numId="10">
    <w:abstractNumId w:val="9"/>
  </w:num>
  <w:num w:numId="11">
    <w:abstractNumId w:val="17"/>
  </w:num>
  <w:num w:numId="12">
    <w:abstractNumId w:val="27"/>
  </w:num>
  <w:num w:numId="13">
    <w:abstractNumId w:val="26"/>
  </w:num>
  <w:num w:numId="14">
    <w:abstractNumId w:val="28"/>
  </w:num>
  <w:num w:numId="15">
    <w:abstractNumId w:val="30"/>
  </w:num>
  <w:num w:numId="16">
    <w:abstractNumId w:val="2"/>
  </w:num>
  <w:num w:numId="17">
    <w:abstractNumId w:val="21"/>
  </w:num>
  <w:num w:numId="18">
    <w:abstractNumId w:val="36"/>
  </w:num>
  <w:num w:numId="19">
    <w:abstractNumId w:val="11"/>
  </w:num>
  <w:num w:numId="20">
    <w:abstractNumId w:val="29"/>
  </w:num>
  <w:num w:numId="21">
    <w:abstractNumId w:val="34"/>
  </w:num>
  <w:num w:numId="22">
    <w:abstractNumId w:val="13"/>
  </w:num>
  <w:num w:numId="23">
    <w:abstractNumId w:val="10"/>
  </w:num>
  <w:num w:numId="24">
    <w:abstractNumId w:val="35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25"/>
  </w:num>
  <w:num w:numId="30">
    <w:abstractNumId w:val="32"/>
  </w:num>
  <w:num w:numId="31">
    <w:abstractNumId w:val="41"/>
  </w:num>
  <w:num w:numId="32">
    <w:abstractNumId w:val="42"/>
  </w:num>
  <w:num w:numId="33">
    <w:abstractNumId w:val="12"/>
  </w:num>
  <w:num w:numId="34">
    <w:abstractNumId w:val="1"/>
  </w:num>
  <w:num w:numId="35">
    <w:abstractNumId w:val="31"/>
  </w:num>
  <w:num w:numId="36">
    <w:abstractNumId w:val="18"/>
  </w:num>
  <w:num w:numId="37">
    <w:abstractNumId w:val="0"/>
  </w:num>
  <w:num w:numId="38">
    <w:abstractNumId w:val="24"/>
  </w:num>
  <w:num w:numId="39">
    <w:abstractNumId w:val="15"/>
  </w:num>
  <w:num w:numId="40">
    <w:abstractNumId w:val="5"/>
  </w:num>
  <w:num w:numId="41">
    <w:abstractNumId w:val="22"/>
  </w:num>
  <w:num w:numId="42">
    <w:abstractNumId w:val="37"/>
  </w:num>
  <w:num w:numId="43">
    <w:abstractNumId w:val="40"/>
  </w:num>
  <w:num w:numId="44">
    <w:abstractNumId w:val="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010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4BA9"/>
    <w:rsid w:val="00076645"/>
    <w:rsid w:val="00080E76"/>
    <w:rsid w:val="00084493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AA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34EE"/>
    <w:rsid w:val="00150E02"/>
    <w:rsid w:val="00160969"/>
    <w:rsid w:val="00160F21"/>
    <w:rsid w:val="0016537A"/>
    <w:rsid w:val="001658B6"/>
    <w:rsid w:val="00171921"/>
    <w:rsid w:val="00171A70"/>
    <w:rsid w:val="0017272D"/>
    <w:rsid w:val="00175FCC"/>
    <w:rsid w:val="00177526"/>
    <w:rsid w:val="00180C7F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042"/>
    <w:rsid w:val="001E22F1"/>
    <w:rsid w:val="001E2508"/>
    <w:rsid w:val="001E486F"/>
    <w:rsid w:val="001E5266"/>
    <w:rsid w:val="001F4645"/>
    <w:rsid w:val="00205DE4"/>
    <w:rsid w:val="00207063"/>
    <w:rsid w:val="00215AD3"/>
    <w:rsid w:val="00220C28"/>
    <w:rsid w:val="00220D75"/>
    <w:rsid w:val="0022173F"/>
    <w:rsid w:val="00221F98"/>
    <w:rsid w:val="00222732"/>
    <w:rsid w:val="00224E61"/>
    <w:rsid w:val="0023261D"/>
    <w:rsid w:val="00236FE8"/>
    <w:rsid w:val="002375DE"/>
    <w:rsid w:val="00246779"/>
    <w:rsid w:val="00262C31"/>
    <w:rsid w:val="002638DC"/>
    <w:rsid w:val="00263CE0"/>
    <w:rsid w:val="002675D5"/>
    <w:rsid w:val="002678E9"/>
    <w:rsid w:val="00282909"/>
    <w:rsid w:val="00292D76"/>
    <w:rsid w:val="00297C2A"/>
    <w:rsid w:val="002A535C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2F580B"/>
    <w:rsid w:val="0030193E"/>
    <w:rsid w:val="00303B9A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1430"/>
    <w:rsid w:val="0039752D"/>
    <w:rsid w:val="0039761F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18EA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8EB"/>
    <w:rsid w:val="004C0C7A"/>
    <w:rsid w:val="004C0F5B"/>
    <w:rsid w:val="004D28D9"/>
    <w:rsid w:val="004D37D9"/>
    <w:rsid w:val="004D3D04"/>
    <w:rsid w:val="004D6AA7"/>
    <w:rsid w:val="004D7D44"/>
    <w:rsid w:val="004E1C64"/>
    <w:rsid w:val="004E3829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3C7A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D6C1B"/>
    <w:rsid w:val="005E6E2F"/>
    <w:rsid w:val="005F2771"/>
    <w:rsid w:val="005F774F"/>
    <w:rsid w:val="006013AB"/>
    <w:rsid w:val="00602B9F"/>
    <w:rsid w:val="00603EFC"/>
    <w:rsid w:val="00621BC1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21D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3117"/>
    <w:rsid w:val="00713BFE"/>
    <w:rsid w:val="0072243C"/>
    <w:rsid w:val="007237FA"/>
    <w:rsid w:val="0072624E"/>
    <w:rsid w:val="00732A91"/>
    <w:rsid w:val="00735B7A"/>
    <w:rsid w:val="00736EC8"/>
    <w:rsid w:val="00737980"/>
    <w:rsid w:val="00741D94"/>
    <w:rsid w:val="007467DF"/>
    <w:rsid w:val="00756A61"/>
    <w:rsid w:val="00757BC3"/>
    <w:rsid w:val="00761236"/>
    <w:rsid w:val="00762481"/>
    <w:rsid w:val="0076444F"/>
    <w:rsid w:val="007872BC"/>
    <w:rsid w:val="00790CC5"/>
    <w:rsid w:val="007A176D"/>
    <w:rsid w:val="007A377A"/>
    <w:rsid w:val="007B1D32"/>
    <w:rsid w:val="007B43A1"/>
    <w:rsid w:val="007B6E3E"/>
    <w:rsid w:val="007C73DE"/>
    <w:rsid w:val="007D0571"/>
    <w:rsid w:val="007D1AFF"/>
    <w:rsid w:val="007D609D"/>
    <w:rsid w:val="007D669F"/>
    <w:rsid w:val="007E1950"/>
    <w:rsid w:val="007E6C83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10E"/>
    <w:rsid w:val="00843FE7"/>
    <w:rsid w:val="0084444B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323B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4A85"/>
    <w:rsid w:val="009B5C03"/>
    <w:rsid w:val="009C2FED"/>
    <w:rsid w:val="009D264E"/>
    <w:rsid w:val="009D3593"/>
    <w:rsid w:val="009E1FC3"/>
    <w:rsid w:val="009E26C1"/>
    <w:rsid w:val="009E46C4"/>
    <w:rsid w:val="009E586C"/>
    <w:rsid w:val="009F59E4"/>
    <w:rsid w:val="009F6D3B"/>
    <w:rsid w:val="00A07E43"/>
    <w:rsid w:val="00A11046"/>
    <w:rsid w:val="00A15619"/>
    <w:rsid w:val="00A16DAE"/>
    <w:rsid w:val="00A20D92"/>
    <w:rsid w:val="00A21FED"/>
    <w:rsid w:val="00A33BE1"/>
    <w:rsid w:val="00A37BD6"/>
    <w:rsid w:val="00A40050"/>
    <w:rsid w:val="00A40455"/>
    <w:rsid w:val="00A44F1C"/>
    <w:rsid w:val="00A46A0C"/>
    <w:rsid w:val="00A54EF3"/>
    <w:rsid w:val="00A57F7F"/>
    <w:rsid w:val="00A61F1A"/>
    <w:rsid w:val="00A653B2"/>
    <w:rsid w:val="00A71772"/>
    <w:rsid w:val="00A72DD3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0B35"/>
    <w:rsid w:val="00AE28E2"/>
    <w:rsid w:val="00AE78EC"/>
    <w:rsid w:val="00AF0FB2"/>
    <w:rsid w:val="00AF7162"/>
    <w:rsid w:val="00B015A0"/>
    <w:rsid w:val="00B037A9"/>
    <w:rsid w:val="00B03FED"/>
    <w:rsid w:val="00B05D99"/>
    <w:rsid w:val="00B0673C"/>
    <w:rsid w:val="00B12957"/>
    <w:rsid w:val="00B15587"/>
    <w:rsid w:val="00B22E7C"/>
    <w:rsid w:val="00B246D0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87AA9"/>
    <w:rsid w:val="00B92A39"/>
    <w:rsid w:val="00B97B34"/>
    <w:rsid w:val="00BA34BC"/>
    <w:rsid w:val="00BC1493"/>
    <w:rsid w:val="00BC35FA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0EA4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9B2"/>
    <w:rsid w:val="00D56177"/>
    <w:rsid w:val="00D60729"/>
    <w:rsid w:val="00D63E71"/>
    <w:rsid w:val="00D644AE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31D7"/>
    <w:rsid w:val="00E70863"/>
    <w:rsid w:val="00E71C0D"/>
    <w:rsid w:val="00E71E96"/>
    <w:rsid w:val="00E725B6"/>
    <w:rsid w:val="00E7353D"/>
    <w:rsid w:val="00E766C6"/>
    <w:rsid w:val="00E80B5C"/>
    <w:rsid w:val="00E828F9"/>
    <w:rsid w:val="00E90C00"/>
    <w:rsid w:val="00EA62D7"/>
    <w:rsid w:val="00EB20A7"/>
    <w:rsid w:val="00EC2402"/>
    <w:rsid w:val="00EC429B"/>
    <w:rsid w:val="00EC44A5"/>
    <w:rsid w:val="00EC4FDB"/>
    <w:rsid w:val="00ED52F5"/>
    <w:rsid w:val="00ED5B9E"/>
    <w:rsid w:val="00EE58CC"/>
    <w:rsid w:val="00EF11FF"/>
    <w:rsid w:val="00EF566B"/>
    <w:rsid w:val="00EF6FAB"/>
    <w:rsid w:val="00F1221F"/>
    <w:rsid w:val="00F22F02"/>
    <w:rsid w:val="00F24186"/>
    <w:rsid w:val="00F24A4E"/>
    <w:rsid w:val="00F25BCA"/>
    <w:rsid w:val="00F25DB9"/>
    <w:rsid w:val="00F316F1"/>
    <w:rsid w:val="00F436CE"/>
    <w:rsid w:val="00F51D84"/>
    <w:rsid w:val="00F62141"/>
    <w:rsid w:val="00F67CCF"/>
    <w:rsid w:val="00F71BC1"/>
    <w:rsid w:val="00F74FDB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5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F24CA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4C9E2-C420-4B6D-8065-9BD26E4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2017-03-31T18:05:00Z</dcterms:created>
  <dcterms:modified xsi:type="dcterms:W3CDTF">2017-08-23T20:11:00Z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